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9A8A" w14:textId="5458B2D9" w:rsidR="00D51F1D" w:rsidRPr="001B4A72" w:rsidRDefault="00D51F1D" w:rsidP="00D51F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Standing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Committe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on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Finance</w:t>
      </w:r>
      <w:proofErr w:type="spellEnd"/>
    </w:p>
    <w:p w14:paraId="35E19FE3" w14:textId="14351AFA" w:rsidR="00D51F1D" w:rsidRPr="001B4A72" w:rsidRDefault="00D51F1D" w:rsidP="00D51F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B4A7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Leilani Farha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, Global Director,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The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Shift</w:t>
      </w:r>
      <w:proofErr w:type="spellEnd"/>
    </w:p>
    <w:p w14:paraId="2BBF95C4" w14:textId="77777777" w:rsidR="00D51F1D" w:rsidRPr="001B4A72" w:rsidRDefault="00D51F1D" w:rsidP="00D51F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B4A7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March 21, 2022</w:t>
      </w:r>
    </w:p>
    <w:p w14:paraId="6FE152EC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Times New Roman" w:eastAsia="Times New Roman" w:hAnsi="Times New Roman" w:cs="Times New Roman"/>
          <w:color w:val="000000"/>
        </w:rPr>
        <w:t> </w:t>
      </w:r>
    </w:p>
    <w:p w14:paraId="323715F4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Thank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you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for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inviting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me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this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conversation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inflation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Finance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Committee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precisely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where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some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most important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conversations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about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will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occur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 </w:t>
      </w:r>
    </w:p>
    <w:p w14:paraId="065212FA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Times New Roman" w:eastAsia="Times New Roman" w:hAnsi="Times New Roman" w:cs="Times New Roman"/>
          <w:color w:val="000000"/>
        </w:rPr>
        <w:t> </w:t>
      </w:r>
    </w:p>
    <w:p w14:paraId="15AEB26D" w14:textId="776DC07E" w:rsidR="00D51F1D" w:rsidRPr="001B4A72" w:rsidRDefault="00D16293" w:rsidP="00D51F1D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In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my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capacity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as</w:t>
      </w:r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Global Director of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Shift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much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my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work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is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focused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on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financialization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– or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nexus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between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finance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human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rights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I’m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also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former UN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Special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Rapporteur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on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right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a post I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held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for 6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years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from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2014-2020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during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which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time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developed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this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particular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expertise</w:t>
      </w:r>
      <w:proofErr w:type="spellEnd"/>
      <w:r w:rsidR="00D51F1D"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 </w:t>
      </w:r>
    </w:p>
    <w:p w14:paraId="69FFBC83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Times New Roman" w:eastAsia="Times New Roman" w:hAnsi="Times New Roman" w:cs="Times New Roman"/>
          <w:color w:val="000000"/>
        </w:rPr>
        <w:t>  </w:t>
      </w:r>
    </w:p>
    <w:p w14:paraId="12EFE148" w14:textId="4FDD2BA3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Let me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start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here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Canada,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like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most western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developed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nations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characterized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 central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contradiction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: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have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relatively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robust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economy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as a top-10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performing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economy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D1629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(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terms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GDP</w:t>
      </w:r>
      <w:r w:rsidR="00D1629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)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with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impressive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growth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pace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6.7% 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come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out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pandemic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With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this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kind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strong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economic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  performance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we’d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expect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people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all social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strata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living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pretty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good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lives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proofErr w:type="spellStart"/>
      <w:r w:rsidR="00D1629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One</w:t>
      </w:r>
      <w:proofErr w:type="spellEnd"/>
      <w:r w:rsidR="00D1629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1629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assumes</w:t>
      </w:r>
      <w:proofErr w:type="spellEnd"/>
      <w:r w:rsidR="00D1629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D1629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hat’s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point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economic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growth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So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counterintuitive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instead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have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growing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homelessness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increasing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unaffordability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not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just for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low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income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renters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but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also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for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higher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earners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 </w:t>
      </w:r>
    </w:p>
    <w:p w14:paraId="17A24C05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</w:p>
    <w:p w14:paraId="484B0C85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This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contradiction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has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deepened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with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pandemic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related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inflation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-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captured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perfectly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when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middle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pandemic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Bank of Canada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head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Tiff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Macklem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celebrated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country’s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strong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economic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performance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derived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through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real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estate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transactions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debt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causing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prices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skyrocket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. </w:t>
      </w:r>
    </w:p>
    <w:p w14:paraId="022C26B5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Times New Roman" w:eastAsia="Times New Roman" w:hAnsi="Times New Roman" w:cs="Times New Roman"/>
          <w:color w:val="000000"/>
        </w:rPr>
        <w:t> </w:t>
      </w:r>
    </w:p>
    <w:p w14:paraId="72D59FCE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This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fundamental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contradiction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can be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traced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directly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values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embraced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su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ccessive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governments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in Canada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articulated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through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laws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policies in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finance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sectors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which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benefit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institutional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other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investors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</w:t>
      </w:r>
    </w:p>
    <w:p w14:paraId="08608892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</w:p>
    <w:p w14:paraId="7A63EE46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As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result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Canada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now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has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system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has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become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overly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financialized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operating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without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any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relation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household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incomes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need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. </w:t>
      </w:r>
    </w:p>
    <w:p w14:paraId="66B8FE32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</w:p>
    <w:p w14:paraId="61FCAD49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financialization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I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mean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when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single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multi-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family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homes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treated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like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extractive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industry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like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mining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where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is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used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extract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wealth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mostly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those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who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already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have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abundance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like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pension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funds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investment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trusts. </w:t>
      </w:r>
    </w:p>
    <w:p w14:paraId="3590C3A7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</w:p>
    <w:p w14:paraId="0DAEBA5C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financialization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is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rooted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neo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-liberal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assertion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given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right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legislative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policy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conditions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market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will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provide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what’s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necessary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for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people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this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country.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  “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right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conditions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things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like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low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interest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rates,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preferential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tax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treatment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for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investors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no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regulations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monopoly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ownership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weak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tenant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protections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seat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political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tables for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investors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advise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governments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. </w:t>
      </w:r>
    </w:p>
    <w:p w14:paraId="033002FD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Times New Roman" w:eastAsia="Times New Roman" w:hAnsi="Times New Roman" w:cs="Times New Roman"/>
          <w:color w:val="000000"/>
        </w:rPr>
        <w:t> </w:t>
      </w:r>
    </w:p>
    <w:p w14:paraId="63EF53CA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Obviously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facts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ground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prove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this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to be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failed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experiment.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Value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extraction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has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been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confused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with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value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creation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making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easier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for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investors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call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themselves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value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creators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process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extract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value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  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Douglas Porter,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head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of BMO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said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this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way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I’m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paraphrasing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here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supply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narrative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as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solution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crisis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industry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continues to pedal is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myth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myth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happens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benefit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those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propagating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it. </w:t>
      </w:r>
    </w:p>
    <w:p w14:paraId="6F6E48D8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</w:p>
    <w:p w14:paraId="55DBB719" w14:textId="30DEC57F" w:rsidR="00D51F1D" w:rsidRDefault="00D51F1D" w:rsidP="00D51F1D">
      <w:pPr>
        <w:rPr>
          <w:rFonts w:ascii="Times New Roman" w:eastAsia="Times New Roman" w:hAnsi="Times New Roman" w:cs="Times New Roman"/>
        </w:rPr>
      </w:pP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So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what’s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be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done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?  I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think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it’s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obvious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when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one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set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values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no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longer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produces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reasonable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outcomes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governments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need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embrace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another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set,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will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achieve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better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outcomes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Human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rights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only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framework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has 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goal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equality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inclusion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affordability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adequacy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security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–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while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also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offering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framework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govern. </w:t>
      </w:r>
    </w:p>
    <w:p w14:paraId="6D4B615D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</w:p>
    <w:p w14:paraId="690C1651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Human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rights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re-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defines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value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creation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value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as home.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re-orients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finance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policies to focus on individuals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experiencing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need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not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investor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shareholder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interests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as is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case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in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financialized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system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require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supply-side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solutions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actual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demand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not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investors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 </w:t>
      </w:r>
    </w:p>
    <w:p w14:paraId="0FC11245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</w:p>
    <w:p w14:paraId="7CE6A9AB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Across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world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I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have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seen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States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grappling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with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financialization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trying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curb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trend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recognizing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is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different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sort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business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it’s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human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rights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business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requires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proactive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protection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governments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Denmark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enacted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legislation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prevents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investors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from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raising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rents for 5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years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;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Singapore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has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introduced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heavy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taxation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multiple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home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purchases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 single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investor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; New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Zealand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has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asked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Central Bank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consider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setting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monetary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policy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; Spain has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enacted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national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right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legislation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which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penalizes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owners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who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leave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homes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empty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imposes rent caps on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landlords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across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country;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city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state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Berlin is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having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contemplate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socialization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of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private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market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units.</w:t>
      </w:r>
    </w:p>
    <w:p w14:paraId="380805B3" w14:textId="77777777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</w:p>
    <w:p w14:paraId="26CF722E" w14:textId="2DBCAABF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I’ll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emphasizing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: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If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you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embrace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human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rights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framework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–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as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articulated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in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National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Strategy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Act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– 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if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breath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life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into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by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committing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ensuring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every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fiscal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monetary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policy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law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has as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its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end-goal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ensuring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adequate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affordable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secure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housing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for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those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most in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need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,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then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you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can</w:t>
      </w:r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not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make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wrong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step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 </w:t>
      </w:r>
    </w:p>
    <w:p w14:paraId="49D730EF" w14:textId="77777777" w:rsidR="00D51F1D" w:rsidRDefault="00D51F1D" w:rsidP="00D51F1D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0A64BF3D" w14:textId="7FE330E1" w:rsidR="00D51F1D" w:rsidRPr="001B4A72" w:rsidRDefault="00D51F1D" w:rsidP="00D51F1D">
      <w:pPr>
        <w:rPr>
          <w:rFonts w:ascii="Times New Roman" w:eastAsia="Times New Roman" w:hAnsi="Times New Roman" w:cs="Times New Roman"/>
        </w:rPr>
      </w:pP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I’m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happy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take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any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questions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you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might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have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proofErr w:type="spellStart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Thanks</w:t>
      </w:r>
      <w:proofErr w:type="spellEnd"/>
      <w:r w:rsidRPr="001B4A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</w:t>
      </w:r>
    </w:p>
    <w:sectPr w:rsidR="00D51F1D" w:rsidRPr="001B4A72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8558" w14:textId="77777777" w:rsidR="006D6DAC" w:rsidRDefault="006D6DAC" w:rsidP="006E0E4E">
      <w:pPr>
        <w:spacing w:after="0" w:line="240" w:lineRule="auto"/>
      </w:pPr>
      <w:r>
        <w:separator/>
      </w:r>
    </w:p>
  </w:endnote>
  <w:endnote w:type="continuationSeparator" w:id="0">
    <w:p w14:paraId="2F830C8D" w14:textId="77777777" w:rsidR="006D6DAC" w:rsidRDefault="006D6DAC" w:rsidP="006E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 bold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7151429"/>
      <w:docPartObj>
        <w:docPartGallery w:val="Page Numbers (Bottom of Page)"/>
        <w:docPartUnique/>
      </w:docPartObj>
    </w:sdtPr>
    <w:sdtContent>
      <w:p w14:paraId="221ED8E3" w14:textId="237E7127" w:rsidR="00D51F1D" w:rsidRDefault="00D51F1D" w:rsidP="005F18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80ED55" w14:textId="77777777" w:rsidR="00D51F1D" w:rsidRDefault="00D51F1D" w:rsidP="00D51F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16566718"/>
      <w:docPartObj>
        <w:docPartGallery w:val="Page Numbers (Bottom of Page)"/>
        <w:docPartUnique/>
      </w:docPartObj>
    </w:sdtPr>
    <w:sdtContent>
      <w:p w14:paraId="24377629" w14:textId="0E41ECB3" w:rsidR="00D51F1D" w:rsidRDefault="00D51F1D" w:rsidP="005F18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E73527" w14:textId="243478D5" w:rsidR="006E0E4E" w:rsidRPr="00170E61" w:rsidRDefault="00170E61" w:rsidP="00D51F1D">
    <w:pPr>
      <w:pStyle w:val="Footer"/>
      <w:ind w:right="360"/>
      <w:jc w:val="right"/>
      <w:rPr>
        <w:b/>
      </w:rPr>
    </w:pPr>
    <w:r>
      <w:rPr>
        <w:rFonts w:ascii="Roboto Condensed bold" w:hAnsi="Roboto Condensed bold"/>
        <w:b/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75F1DF" wp14:editId="1ECCDAB2">
              <wp:simplePos x="0" y="0"/>
              <wp:positionH relativeFrom="column">
                <wp:posOffset>5187315</wp:posOffset>
              </wp:positionH>
              <wp:positionV relativeFrom="paragraph">
                <wp:posOffset>-26035</wp:posOffset>
              </wp:positionV>
              <wp:extent cx="47625" cy="209550"/>
              <wp:effectExtent l="0" t="0" r="9525" b="0"/>
              <wp:wrapNone/>
              <wp:docPr id="3" name="Paralelogram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209550"/>
                      </a:xfrm>
                      <a:prstGeom prst="parallelogram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C5D5F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elogramo 3" o:spid="_x0000_s1026" type="#_x0000_t7" style="position:absolute;margin-left:408.45pt;margin-top:-2.05pt;width:3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" fillcolor="black [3213]" stroked="f" strokeweight="1pt"/>
          </w:pict>
        </mc:Fallback>
      </mc:AlternateContent>
    </w:r>
    <w:r w:rsidRPr="00170E61">
      <w:rPr>
        <w:rFonts w:ascii="Roboto Condensed bold" w:hAnsi="Roboto Condensed bold"/>
        <w:b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E9A9C" wp14:editId="63AE1222">
              <wp:simplePos x="0" y="0"/>
              <wp:positionH relativeFrom="column">
                <wp:posOffset>-41910</wp:posOffset>
              </wp:positionH>
              <wp:positionV relativeFrom="paragraph">
                <wp:posOffset>-207010</wp:posOffset>
              </wp:positionV>
              <wp:extent cx="54864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32D82B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-16.3pt" to="428.7pt,-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" strokecolor="#a5a5a5 [2092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27C3" w14:textId="77777777" w:rsidR="006D6DAC" w:rsidRDefault="006D6DAC" w:rsidP="006E0E4E">
      <w:pPr>
        <w:spacing w:after="0" w:line="240" w:lineRule="auto"/>
      </w:pPr>
      <w:r>
        <w:separator/>
      </w:r>
    </w:p>
  </w:footnote>
  <w:footnote w:type="continuationSeparator" w:id="0">
    <w:p w14:paraId="7D3ACA84" w14:textId="77777777" w:rsidR="006D6DAC" w:rsidRDefault="006D6DAC" w:rsidP="006E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9FE" w14:textId="77777777" w:rsidR="006E0E4E" w:rsidRDefault="006E0E4E">
    <w:pPr>
      <w:pStyle w:val="Header"/>
      <w:rPr>
        <w:sz w:val="24"/>
        <w:szCs w:val="24"/>
      </w:rPr>
    </w:pPr>
    <w:r w:rsidRPr="006E0E4E">
      <w:rPr>
        <w:rFonts w:asciiTheme="majorHAnsi" w:eastAsiaTheme="majorEastAsia" w:hAnsiTheme="majorHAnsi" w:cstheme="majorBidi"/>
        <w:noProof/>
        <w:color w:val="BC2F2C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AE9DF8" wp14:editId="48EF17DF">
              <wp:simplePos x="0" y="0"/>
              <wp:positionH relativeFrom="column">
                <wp:posOffset>3825240</wp:posOffset>
              </wp:positionH>
              <wp:positionV relativeFrom="paragraph">
                <wp:posOffset>7620</wp:posOffset>
              </wp:positionV>
              <wp:extent cx="164211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A9CC9" w14:textId="77777777" w:rsidR="006E0E4E" w:rsidRDefault="006E0E4E" w:rsidP="006E0E4E">
                          <w:pPr>
                            <w:spacing w:line="240" w:lineRule="auto"/>
                            <w:jc w:val="right"/>
                          </w:pPr>
                          <w:r>
                            <w:t>@Make_TheShift</w:t>
                          </w:r>
                          <w:r>
                            <w:br/>
                          </w:r>
                          <w:hyperlink r:id="rId1" w:history="1">
                            <w:r w:rsidRPr="006E0E4E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info@make-the-shift.org</w:t>
                            </w:r>
                          </w:hyperlink>
                          <w:r w:rsidRPr="006E0E4E">
                            <w:br/>
                          </w:r>
                          <w:hyperlink r:id="rId2" w:history="1">
                            <w:r w:rsidRPr="00E64EED">
                              <w:rPr>
                                <w:rStyle w:val="Hyperlink"/>
                                <w:color w:val="C00000" w:themeColor="accent5"/>
                                <w:u w:val="none"/>
                              </w:rPr>
                              <w:t>www.make-the-shift.org</w:t>
                            </w:r>
                          </w:hyperlink>
                        </w:p>
                        <w:p w14:paraId="545D9D37" w14:textId="77777777" w:rsidR="006E0E4E" w:rsidRDefault="006E0E4E" w:rsidP="006E0E4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E9D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.2pt;margin-top:.6pt;width:129.3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" stroked="f">
              <v:textbox>
                <w:txbxContent>
                  <w:p w14:paraId="27FA9CC9" w14:textId="77777777" w:rsidR="006E0E4E" w:rsidRDefault="006E0E4E" w:rsidP="006E0E4E">
                    <w:pPr>
                      <w:spacing w:line="240" w:lineRule="auto"/>
                      <w:jc w:val="right"/>
                    </w:pPr>
                    <w:r>
                      <w:t>@Make_TheShift</w:t>
                    </w:r>
                    <w:r>
                      <w:br/>
                    </w:r>
                    <w:hyperlink r:id="rId3" w:history="1">
                      <w:r w:rsidRPr="006E0E4E">
                        <w:rPr>
                          <w:rStyle w:val="Hyperlink"/>
                          <w:color w:val="auto"/>
                          <w:u w:val="none"/>
                        </w:rPr>
                        <w:t>info@make-the-shift.org</w:t>
                      </w:r>
                    </w:hyperlink>
                    <w:r w:rsidRPr="006E0E4E">
                      <w:br/>
                    </w:r>
                    <w:hyperlink r:id="rId4" w:history="1">
                      <w:r w:rsidRPr="00E64EED">
                        <w:rPr>
                          <w:rStyle w:val="Hyperlink"/>
                          <w:color w:val="C00000" w:themeColor="accent5"/>
                          <w:u w:val="none"/>
                        </w:rPr>
                        <w:t>www.make-the-shift.org</w:t>
                      </w:r>
                    </w:hyperlink>
                  </w:p>
                  <w:p w14:paraId="545D9D37" w14:textId="77777777" w:rsidR="006E0E4E" w:rsidRDefault="006E0E4E" w:rsidP="006E0E4E"/>
                </w:txbxContent>
              </v:textbox>
              <w10:wrap type="square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  <w:color w:val="BC2F2C" w:themeColor="accent1"/>
        <w:sz w:val="24"/>
        <w:szCs w:val="24"/>
        <w:lang w:eastAsia="ca-ES"/>
      </w:rPr>
      <w:drawing>
        <wp:inline distT="0" distB="0" distL="0" distR="0" wp14:anchorId="1773AB9E" wp14:editId="4B8B8B90">
          <wp:extent cx="1691919" cy="609600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SHIFT-color-300dpi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580" cy="610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BC2F2C" w:themeColor="accent1"/>
        <w:sz w:val="24"/>
        <w:szCs w:val="24"/>
      </w:rPr>
      <w:ptab w:relativeTo="margin" w:alignment="right" w:leader="none"/>
    </w:r>
  </w:p>
  <w:p w14:paraId="0853CF02" w14:textId="77777777" w:rsidR="006E0E4E" w:rsidRDefault="006E0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4E"/>
    <w:rsid w:val="00170E61"/>
    <w:rsid w:val="006D6DAC"/>
    <w:rsid w:val="006E0E4E"/>
    <w:rsid w:val="006F2011"/>
    <w:rsid w:val="009B6E1F"/>
    <w:rsid w:val="009F3F42"/>
    <w:rsid w:val="00BC574B"/>
    <w:rsid w:val="00C90D60"/>
    <w:rsid w:val="00D16293"/>
    <w:rsid w:val="00D51F1D"/>
    <w:rsid w:val="00D81C0A"/>
    <w:rsid w:val="00E6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69AAC"/>
  <w15:chartTrackingRefBased/>
  <w15:docId w15:val="{038F59A0-D580-4FB0-BE08-66F03FDC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C232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4E"/>
  </w:style>
  <w:style w:type="paragraph" w:styleId="Footer">
    <w:name w:val="footer"/>
    <w:basedOn w:val="Normal"/>
    <w:link w:val="FooterChar"/>
    <w:uiPriority w:val="99"/>
    <w:unhideWhenUsed/>
    <w:rsid w:val="006E0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4E"/>
  </w:style>
  <w:style w:type="character" w:styleId="Hyperlink">
    <w:name w:val="Hyperlink"/>
    <w:basedOn w:val="DefaultParagraphFont"/>
    <w:uiPriority w:val="99"/>
    <w:unhideWhenUsed/>
    <w:rsid w:val="006E0E4E"/>
    <w:rPr>
      <w:color w:val="BC2F2C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0E4E"/>
    <w:rPr>
      <w:rFonts w:asciiTheme="majorHAnsi" w:eastAsiaTheme="majorEastAsia" w:hAnsiTheme="majorHAnsi" w:cstheme="majorBidi"/>
      <w:color w:val="8C2321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D5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ake-the-shift.org" TargetMode="External"/><Relationship Id="rId2" Type="http://schemas.openxmlformats.org/officeDocument/2006/relationships/hyperlink" Target="http://www.make-the-shift.org" TargetMode="External"/><Relationship Id="rId1" Type="http://schemas.openxmlformats.org/officeDocument/2006/relationships/hyperlink" Target="mailto:info@make-the-shift.or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ake-the-shift.org" TargetMode="External"/></Relationships>
</file>

<file path=word/theme/theme1.xml><?xml version="1.0" encoding="utf-8"?>
<a:theme xmlns:a="http://schemas.openxmlformats.org/drawingml/2006/main" name="Tema de Office">
  <a:themeElements>
    <a:clrScheme name="The Shift">
      <a:dk1>
        <a:sysClr val="windowText" lastClr="000000"/>
      </a:dk1>
      <a:lt1>
        <a:sysClr val="window" lastClr="FFFFFF"/>
      </a:lt1>
      <a:dk2>
        <a:srgbClr val="BC2F2C"/>
      </a:dk2>
      <a:lt2>
        <a:srgbClr val="E7E6E6"/>
      </a:lt2>
      <a:accent1>
        <a:srgbClr val="BC2F2C"/>
      </a:accent1>
      <a:accent2>
        <a:srgbClr val="7F7F7F"/>
      </a:accent2>
      <a:accent3>
        <a:srgbClr val="A5A5A5"/>
      </a:accent3>
      <a:accent4>
        <a:srgbClr val="0C0C0C"/>
      </a:accent4>
      <a:accent5>
        <a:srgbClr val="C00000"/>
      </a:accent5>
      <a:accent6>
        <a:srgbClr val="D8D8D8"/>
      </a:accent6>
      <a:hlink>
        <a:srgbClr val="BC2F2C"/>
      </a:hlink>
      <a:folHlink>
        <a:srgbClr val="BC2F2C"/>
      </a:folHlink>
    </a:clrScheme>
    <a:fontScheme name="Personalizado 1">
      <a:majorFont>
        <a:latin typeface="Roboto Condensed"/>
        <a:ea typeface=""/>
        <a:cs typeface=""/>
      </a:majorFont>
      <a:minorFont>
        <a:latin typeface="Roboto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806</Words>
  <Characters>4137</Characters>
  <Application>Microsoft Office Word</Application>
  <DocSecurity>0</DocSecurity>
  <Lines>96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Ontiveros Ortiz</dc:creator>
  <cp:keywords/>
  <dc:description/>
  <cp:lastModifiedBy>Leilani Farha</cp:lastModifiedBy>
  <cp:revision>4</cp:revision>
  <cp:lastPrinted>2022-03-21T12:53:00Z</cp:lastPrinted>
  <dcterms:created xsi:type="dcterms:W3CDTF">2022-03-21T12:38:00Z</dcterms:created>
  <dcterms:modified xsi:type="dcterms:W3CDTF">2022-03-21T12:47:00Z</dcterms:modified>
</cp:coreProperties>
</file>